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1DD2E" w14:textId="0A367CFF" w:rsidR="00AC7A10" w:rsidRDefault="00AC7A10">
      <w:r w:rsidRPr="00602D78">
        <w:rPr>
          <w:b/>
          <w:bCs/>
        </w:rPr>
        <w:t>PRISE EN CHARGE PAR L’EMPLOYEUR DES FRAIS SUPPLEMENTAIRES : FRAIS de PARKING OU AUTRE</w:t>
      </w:r>
      <w:r>
        <w:t xml:space="preserve"> La jurisprudence a posé le principe selon lequel l'employeur doit obligatoirement prendre en charge les frais engagés par le salarié pour les besoins de son activité professionnelle et dans l'intérêt de son employeur. Ces frais ne peuvent pas être imputés sur sa rémunération. Cette obligation s'impose à l'employeur même lorsque la loi, une convention ou un accord ne le précise pas. La Cour de cassation a ainsi approuvé la décision de la cour d'appel qui, ayant constaté que pour chacune des catégories d'emplois concernés le port du vêtement de travail était obligatoire et qu'il était inhérent à l'emploi, a décidé que l'employeur devait assurer la charge de leur entretien. Selon la jurisprudence, l'employeur n’est pas obligé de prendre en charge des frais engagés par le salarié pour le besoin de son activité professionnelle s'il est prévu dans le contrat de travail que le salarié conserve la charge de ces frais, moyennant le versement d'une somme fixée à l'avance de manière forfaitaire. En pratique, il ne s'agit pas réellement d'une exception au principe énoncé ci-dessus, le salarié percevant une somme forfaitaire destinée à l'indemniser pour ses dépenses. Il en va ainsi pour les frais de déplacement prévus par la convention mais pas pour les frais de parking. Ainsi, la Cour de cassation a estimé qu'un salarié était en droit de demander le remboursement des frais professionnels qu'il avait effectivement engagés dans le cadre de son travail puisque son contrat prévoyait, sans autres précisions, le versement de commissions « exclusives de tout remboursement de frais », sans indiquer le montant de la rémunération proprement dite d'une part, et celui de l'allocation forfaitaire d'autre part. En l’absence de disposition dans la convention d'un remboursement des sommes réellement dépensées par le salarié. Le remboursement se fait : Soit sous la forme de remboursement de sommes calculées forfaitairement mais le montant ne peut être inférieur au coût réel. Soit sur présentation de justificatifs. En effet, les frais qu'un salarié justifie avoir exposé pour les besoins de son activité professionnelle et dans l'intérêt de son employeur, doivent être remboursés sans qu'ils puissent être imputés sur la rémunération qui lui est due.</w:t>
      </w:r>
    </w:p>
    <w:p w14:paraId="4D99C877"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Cour de cassation</w:t>
      </w:r>
      <w:r>
        <w:rPr>
          <w:rFonts w:ascii="Arial" w:hAnsi="Arial" w:cs="Arial"/>
          <w:sz w:val="24"/>
          <w:szCs w:val="24"/>
        </w:rPr>
        <w:t xml:space="preserve"> </w:t>
      </w:r>
    </w:p>
    <w:p w14:paraId="1FAC5EDD"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chambre sociale</w:t>
      </w:r>
      <w:r>
        <w:rPr>
          <w:rFonts w:ascii="Arial" w:hAnsi="Arial" w:cs="Arial"/>
          <w:sz w:val="24"/>
          <w:szCs w:val="24"/>
        </w:rPr>
        <w:t xml:space="preserve"> </w:t>
      </w:r>
    </w:p>
    <w:p w14:paraId="32C011C3"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0D7638A4"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Audience publique du 25 février 1998</w:t>
      </w:r>
      <w:r>
        <w:rPr>
          <w:rFonts w:ascii="Arial" w:hAnsi="Arial" w:cs="Arial"/>
          <w:sz w:val="24"/>
          <w:szCs w:val="24"/>
        </w:rPr>
        <w:t xml:space="preserve"> </w:t>
      </w:r>
    </w:p>
    <w:p w14:paraId="0B67940B"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N° de pourvoi: 95-44096 96-40144 </w:t>
      </w:r>
    </w:p>
    <w:p w14:paraId="1FA720C5"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Publié au bulletin</w:t>
      </w:r>
    </w:p>
    <w:p w14:paraId="69A0F6F0" w14:textId="77777777" w:rsidR="00602D78" w:rsidRDefault="00602D78" w:rsidP="00602D78">
      <w:pPr>
        <w:widowControl w:val="0"/>
        <w:autoSpaceDE w:val="0"/>
        <w:autoSpaceDN w:val="0"/>
        <w:adjustRightInd w:val="0"/>
        <w:spacing w:after="0" w:line="240" w:lineRule="auto"/>
        <w:jc w:val="right"/>
        <w:rPr>
          <w:rFonts w:ascii="Arial" w:hAnsi="Arial" w:cs="Arial"/>
          <w:sz w:val="24"/>
          <w:szCs w:val="24"/>
        </w:rPr>
      </w:pPr>
      <w:r>
        <w:rPr>
          <w:rFonts w:ascii="Arial" w:hAnsi="Arial" w:cs="Arial"/>
          <w:b/>
          <w:bCs/>
          <w:sz w:val="24"/>
          <w:szCs w:val="24"/>
        </w:rPr>
        <w:t>Cassation partielle.</w:t>
      </w:r>
      <w:r>
        <w:rPr>
          <w:rFonts w:ascii="Arial" w:hAnsi="Arial" w:cs="Arial"/>
          <w:sz w:val="24"/>
          <w:szCs w:val="24"/>
        </w:rPr>
        <w:t xml:space="preserve"> </w:t>
      </w:r>
    </w:p>
    <w:p w14:paraId="5F2E3911"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0B501FE4"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Président : M. </w:t>
      </w:r>
      <w:proofErr w:type="spellStart"/>
      <w:r>
        <w:rPr>
          <w:rFonts w:ascii="Arial" w:hAnsi="Arial" w:cs="Arial"/>
          <w:b/>
          <w:bCs/>
          <w:sz w:val="24"/>
          <w:szCs w:val="24"/>
        </w:rPr>
        <w:t>Gélineau-Larrivet</w:t>
      </w:r>
      <w:proofErr w:type="spellEnd"/>
      <w:r>
        <w:rPr>
          <w:rFonts w:ascii="Arial" w:hAnsi="Arial" w:cs="Arial"/>
          <w:b/>
          <w:bCs/>
          <w:sz w:val="24"/>
          <w:szCs w:val="24"/>
        </w:rPr>
        <w:t xml:space="preserve"> ., président</w:t>
      </w:r>
      <w:r>
        <w:rPr>
          <w:rFonts w:ascii="Arial" w:hAnsi="Arial" w:cs="Arial"/>
          <w:sz w:val="24"/>
          <w:szCs w:val="24"/>
        </w:rPr>
        <w:t xml:space="preserve"> </w:t>
      </w:r>
    </w:p>
    <w:p w14:paraId="1BE411B9"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178899E9"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Rapporteur : M. Desjardins., conseiller apporteur</w:t>
      </w:r>
    </w:p>
    <w:p w14:paraId="6E853FDB"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08EFA7F4"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Avocat général : M. Lyon-Caen., avocat général</w:t>
      </w:r>
    </w:p>
    <w:p w14:paraId="6D0AE4A0"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55F1B5AD"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Avocats : MM. </w:t>
      </w:r>
      <w:proofErr w:type="spellStart"/>
      <w:r>
        <w:rPr>
          <w:rFonts w:ascii="Arial" w:hAnsi="Arial" w:cs="Arial"/>
          <w:sz w:val="24"/>
          <w:szCs w:val="24"/>
        </w:rPr>
        <w:t>Delvolvé</w:t>
      </w:r>
      <w:proofErr w:type="spellEnd"/>
      <w:r>
        <w:rPr>
          <w:rFonts w:ascii="Arial" w:hAnsi="Arial" w:cs="Arial"/>
          <w:sz w:val="24"/>
          <w:szCs w:val="24"/>
        </w:rPr>
        <w:t xml:space="preserve">, </w:t>
      </w:r>
      <w:proofErr w:type="spellStart"/>
      <w:r>
        <w:rPr>
          <w:rFonts w:ascii="Arial" w:hAnsi="Arial" w:cs="Arial"/>
          <w:sz w:val="24"/>
          <w:szCs w:val="24"/>
        </w:rPr>
        <w:t>Jacoupy</w:t>
      </w:r>
      <w:proofErr w:type="spellEnd"/>
      <w:r>
        <w:rPr>
          <w:rFonts w:ascii="Arial" w:hAnsi="Arial" w:cs="Arial"/>
          <w:sz w:val="24"/>
          <w:szCs w:val="24"/>
        </w:rPr>
        <w:t>., avocat(s)</w:t>
      </w:r>
    </w:p>
    <w:p w14:paraId="34D388E3"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32373A8B" w14:textId="77777777" w:rsidR="00602D78" w:rsidRDefault="00602D78" w:rsidP="00602D78">
      <w:pPr>
        <w:widowControl w:val="0"/>
        <w:autoSpaceDE w:val="0"/>
        <w:autoSpaceDN w:val="0"/>
        <w:adjustRightInd w:val="0"/>
        <w:spacing w:after="0" w:line="240" w:lineRule="auto"/>
        <w:jc w:val="center"/>
        <w:rPr>
          <w:rFonts w:ascii="Arial" w:hAnsi="Arial" w:cs="Arial"/>
          <w:sz w:val="24"/>
          <w:szCs w:val="24"/>
        </w:rPr>
      </w:pPr>
      <w:r>
        <w:rPr>
          <w:rFonts w:ascii="Arial" w:hAnsi="Arial" w:cs="Arial"/>
          <w:b/>
          <w:bCs/>
          <w:sz w:val="24"/>
          <w:szCs w:val="24"/>
        </w:rPr>
        <w:t>REPUBLIQUE FRANCAISE</w:t>
      </w:r>
    </w:p>
    <w:p w14:paraId="0BCDA451"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6B256548" w14:textId="77777777" w:rsidR="00602D78" w:rsidRDefault="00602D78" w:rsidP="00602D78">
      <w:pPr>
        <w:widowControl w:val="0"/>
        <w:autoSpaceDE w:val="0"/>
        <w:autoSpaceDN w:val="0"/>
        <w:adjustRightInd w:val="0"/>
        <w:spacing w:after="0" w:line="240" w:lineRule="auto"/>
        <w:jc w:val="center"/>
        <w:rPr>
          <w:rFonts w:ascii="Arial" w:hAnsi="Arial" w:cs="Arial"/>
          <w:sz w:val="24"/>
          <w:szCs w:val="24"/>
        </w:rPr>
      </w:pPr>
      <w:r>
        <w:rPr>
          <w:rFonts w:ascii="Arial" w:hAnsi="Arial" w:cs="Arial"/>
          <w:b/>
          <w:bCs/>
          <w:sz w:val="24"/>
          <w:szCs w:val="24"/>
        </w:rPr>
        <w:t>AU NOM DU PEUPLE FRANCAIS</w:t>
      </w:r>
    </w:p>
    <w:p w14:paraId="14AB5B4B"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0CDA0186"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Vu leur connexité, joint les pourvois </w:t>
      </w:r>
      <w:proofErr w:type="spellStart"/>
      <w:r>
        <w:rPr>
          <w:rFonts w:ascii="Arial" w:hAnsi="Arial" w:cs="Arial"/>
          <w:sz w:val="24"/>
          <w:szCs w:val="24"/>
        </w:rPr>
        <w:t>n°s</w:t>
      </w:r>
      <w:proofErr w:type="spellEnd"/>
      <w:r>
        <w:rPr>
          <w:rFonts w:ascii="Arial" w:hAnsi="Arial" w:cs="Arial"/>
          <w:sz w:val="24"/>
          <w:szCs w:val="24"/>
        </w:rPr>
        <w:t xml:space="preserve"> 95-44.096 et 96-40.144 ;</w:t>
      </w:r>
    </w:p>
    <w:p w14:paraId="22792AC7"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1D6AD782"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Attendu, selon la procédure, qu’après avoir exploité directement une entreprise de transport jusqu’en 1989 et licencié ses salariés, la Société France acheminement </w:t>
      </w:r>
      <w:r>
        <w:rPr>
          <w:rFonts w:ascii="Arial" w:hAnsi="Arial" w:cs="Arial"/>
          <w:sz w:val="24"/>
          <w:szCs w:val="24"/>
        </w:rPr>
        <w:lastRenderedPageBreak/>
        <w:t>(SFA) a conclu des contrats de franchisage en vue de faire prendre en charge par des franchisés les tournées de ramassage et de livraison de colis qui étaient effectuées auparavant par ses salariés ; qu’elle a ainsi conclu un contrat de franchisage avec M. X... le 21 novembre 1989 ; que celui-ci ayant engagé une instance prud’homale, un précédent arrêt du 7 septembre 1992 a dit que les relations juridiques entre la société SFA et lui se trouvaient régies par l’article L. 781-1 du Code du travail et que le conseil de prud’hommes était compétent pour connaître du litige ;</w:t>
      </w:r>
    </w:p>
    <w:p w14:paraId="26DA4715"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1EE5B497"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Sur le premier moyen du pourvoi de la société SFA : </w:t>
      </w:r>
    </w:p>
    <w:p w14:paraId="6D4DD507"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5DF25504"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Attendu que la société SFA fait grief à l’arrêt attaqué de l’avoir condamnée à payer à M. X... une somme à titre de remboursement de frais, alors, selon le moyen, qu’aucune disposition légale ou réglementaire ne prévoyant de remboursement par l’employeur des frais de déplacement exposés par le salarié pour exercer son activité, la cour d’appel, qui a accordé à M. X... le remboursement de tels frais sans en préciser le fondement, n’a pas légalement justifié sa décision au regard de l’article 1134 du Code civil ;</w:t>
      </w:r>
    </w:p>
    <w:p w14:paraId="34B474D0"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09F21ACB"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sidRPr="00A55AAE">
        <w:rPr>
          <w:rFonts w:ascii="Arial" w:hAnsi="Arial" w:cs="Arial"/>
          <w:sz w:val="24"/>
          <w:szCs w:val="24"/>
          <w:highlight w:val="yellow"/>
        </w:rPr>
        <w:t>Mais attendu qu’il est de principe que les frais qu’un salarié justifie avoir exposés pour les besoins de son activité professionnelle et dans l’intérêt de l’employeur doivent lui être remboursés sans qu’ils ne puissent être imputés sur la rémunération qui lui est due, à moins qu’il n’ait été contractuellement prévu qu’il en conserverait la charge moyennant le versement d’une somme fixée à l’avance de manière forfaitaire et à la condition que la rémunération proprement dite du travail reste au moins égale au SMIC ;</w:t>
      </w:r>
    </w:p>
    <w:p w14:paraId="27FA9F4F"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54BE7111"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Qu’en l’espèce, aucune dérogation à ce principe général n’ayant été prévue par les parties, c’est à juste titre que la cour d’appel a accordé à M. X... le remboursement des frais litigieux ; que le moyen ne peut être accueilli ;</w:t>
      </w:r>
    </w:p>
    <w:p w14:paraId="29046B13"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298C7FD6"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Sur le second moyen du même pourvoi : (sans intérêt) ;</w:t>
      </w:r>
    </w:p>
    <w:p w14:paraId="0E10F69C"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3BD16530"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Mais sur le moyen unique du pourvoi de M. X... :</w:t>
      </w:r>
    </w:p>
    <w:p w14:paraId="6B23A3D9"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5151ABA0"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Vu les articles L. 781-1, L. 781-2 et L. 141-1 et suivants du Code du travail et l’article 1134 du Code civil ;</w:t>
      </w:r>
    </w:p>
    <w:p w14:paraId="4531F344"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284E3EE3"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Attendu que, pour débouter M. X... de sa demande tendant au remboursement de la somme qu’il avait versée lors de son embauche, l’arrêt énonce que ses relations juridiques avec la société SFA ont été déclarées régies par l’article L. 781-1 du Code du travail et n’ont donc pas été qualifiées de contrat de travail de droit commun ; que, de ce fait, il n’était pas fondé à réclamer remboursement de la somme versée à titre de “ droit d’entrée</w:t>
      </w:r>
    </w:p>
    <w:p w14:paraId="5CCF535E"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18BE333D" w14:textId="596E1DAD"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Attendu, cependant, d’une part, qu’il appartenait à la cour d’appel, comme elle y était invitée par les écritures de M. X..., de rechercher quelle était la cause du versement qui avait été effectué au titre du “ droit d’entrée “ et s’il ne s’agissait pas d’une somme déposée lors de la conclusion du contrat pour en garantir la bonne exécution, et donc éventu</w:t>
      </w:r>
      <w:bookmarkStart w:id="0" w:name="_GoBack"/>
      <w:bookmarkEnd w:id="0"/>
      <w:r>
        <w:rPr>
          <w:rFonts w:ascii="Arial" w:hAnsi="Arial" w:cs="Arial"/>
          <w:sz w:val="24"/>
          <w:szCs w:val="24"/>
        </w:rPr>
        <w:t xml:space="preserve">ellement remboursable ; que, d’autre part et de toute façon, même s’il ne </w:t>
      </w:r>
      <w:r>
        <w:rPr>
          <w:rFonts w:ascii="Arial" w:hAnsi="Arial" w:cs="Arial"/>
          <w:sz w:val="24"/>
          <w:szCs w:val="24"/>
        </w:rPr>
        <w:lastRenderedPageBreak/>
        <w:t>s’agissait pas d’un cautionnement remboursable à la fin du contrat, la cour d’appel, qui a constaté que les rémunérations perçues par M. Robert étaient inférieures au SMIC, devait nécessairement vérifier si le fait, pour la société SFA, de conserver de manière définitive le bénéfice de la somme qui lui avait été remise à titre de “ droit d’entrée “ par M. X... lors de la conclusion du contrat n’était pas un moyen de diminuer sa rémunération effective, au point d’en réduire le montant à une somme inférieure au SMIC. Qu’en statuant comme elle l’a fait, sans procéder à cette double recherche, la cour d’appel a privé sa décision de base légale ;</w:t>
      </w:r>
    </w:p>
    <w:p w14:paraId="53C068D3"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1782534D"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PAR CES MOTIFS :</w:t>
      </w:r>
    </w:p>
    <w:p w14:paraId="7DC272FB"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27C2085D"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CASSE ET ANNULE, mais seulement dans ses dispositions relatives à la demande de remboursement de la somme versée à titre de “ droit d’entrée “, l’arrêt rendu le 28 juin 1995, entre les parties, par la cour d’appel de Grenoble ; remet, en conséquence, quant à ce, la cause et les parties dans l’état où elles se trouvaient avant ledit arrêt et, pour être fait droit, les renvoie devant la cour d’appel de Lyon.</w:t>
      </w:r>
    </w:p>
    <w:p w14:paraId="59C790F4"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5810D12F"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 xml:space="preserve">Publication : </w:t>
      </w:r>
      <w:r>
        <w:rPr>
          <w:rFonts w:ascii="Arial" w:hAnsi="Arial" w:cs="Arial"/>
          <w:sz w:val="24"/>
          <w:szCs w:val="24"/>
        </w:rPr>
        <w:t>Bulletin 1998 V N° 106 p. 77</w:t>
      </w:r>
    </w:p>
    <w:p w14:paraId="1835CB2C"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62C01B51"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r>
        <w:rPr>
          <w:rFonts w:ascii="Arial" w:hAnsi="Arial" w:cs="Arial"/>
          <w:b/>
          <w:bCs/>
          <w:sz w:val="24"/>
          <w:szCs w:val="24"/>
        </w:rPr>
        <w:t xml:space="preserve">Décision attaquée : </w:t>
      </w:r>
      <w:r>
        <w:rPr>
          <w:rFonts w:ascii="Arial" w:hAnsi="Arial" w:cs="Arial"/>
          <w:sz w:val="24"/>
          <w:szCs w:val="24"/>
        </w:rPr>
        <w:t>Cour d’appel de Grenoble , du 28 juin 1995</w:t>
      </w:r>
    </w:p>
    <w:p w14:paraId="7EE4E570"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2E42F2EC" w14:textId="77777777" w:rsidR="00602D78" w:rsidRDefault="00602D78" w:rsidP="00602D78">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w:t>
      </w:r>
    </w:p>
    <w:p w14:paraId="6765F5F6" w14:textId="77777777" w:rsidR="00602D78" w:rsidRDefault="00602D78"/>
    <w:sectPr w:rsidR="00602D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A10"/>
    <w:rsid w:val="00602D78"/>
    <w:rsid w:val="00AC7A10"/>
    <w:rsid w:val="00D65B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749F0"/>
  <w15:chartTrackingRefBased/>
  <w15:docId w15:val="{AC987571-882E-44E7-B0EC-7306A54C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1104</Words>
  <Characters>6076</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De Froment</dc:creator>
  <cp:keywords/>
  <dc:description/>
  <cp:lastModifiedBy>René De Froment</cp:lastModifiedBy>
  <cp:revision>1</cp:revision>
  <cp:lastPrinted>2019-12-03T16:53:00Z</cp:lastPrinted>
  <dcterms:created xsi:type="dcterms:W3CDTF">2019-12-03T15:50:00Z</dcterms:created>
  <dcterms:modified xsi:type="dcterms:W3CDTF">2019-12-03T17:40:00Z</dcterms:modified>
</cp:coreProperties>
</file>